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25 июля 2022 г. № 715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25 июля 2022 г. № 715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16.07.2019 № 602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На основании заявления Общества с ограниченной ответственностью Специализированный застройщик «ВЕКТОР» (ИНН 3662240232), в соответствии со статьей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16.07.2019 № 602 «О подготовке документации по планировке территории участка линейного объекта для строительства внутриквартального проезда между земельным участком по ул. Минская, 43/1 и земельным участком по ул. Остужева, 29 в городском округе город Воронеж», следующее изменения: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прилагаемое задание на подготовку документации по планировке территории участка линейного объекта для строительства внутриквартального проезда между земельным участком по ул. Минская, 43/1 и земельным участком по ул. Остужева, 29 в городском округе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Схему границ территории участка линейного объекта для строительства внутриквартального проезда между земельным участком по ул. Минская, 43/1 и земельным участком по ул. Остужева, 29 в городском округе город Воронеж изложить в новой редакции согласно приложению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